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A29C" w14:textId="77777777" w:rsidR="00D901C5" w:rsidRPr="00D901C5" w:rsidRDefault="00D901C5" w:rsidP="00D901C5">
      <w:pPr>
        <w:spacing w:before="75" w:after="150" w:line="240" w:lineRule="auto"/>
        <w:jc w:val="center"/>
        <w:textAlignment w:val="baseline"/>
        <w:outlineLvl w:val="1"/>
        <w:rPr>
          <w:rFonts w:ascii="&amp;quot" w:eastAsia="Times New Roman" w:hAnsi="&amp;quot" w:cs="Times New Roman"/>
          <w:b/>
          <w:bCs/>
          <w:color w:val="465914"/>
          <w:sz w:val="30"/>
          <w:szCs w:val="30"/>
        </w:rPr>
      </w:pPr>
      <w:r w:rsidRPr="00D901C5">
        <w:rPr>
          <w:rFonts w:ascii="&amp;quot" w:eastAsia="Times New Roman" w:hAnsi="&amp;quot" w:cs="Times New Roman"/>
          <w:b/>
          <w:bCs/>
          <w:color w:val="465914"/>
          <w:sz w:val="30"/>
          <w:szCs w:val="30"/>
        </w:rPr>
        <w:t>Society of Africanist Archaeologists </w:t>
      </w:r>
    </w:p>
    <w:p w14:paraId="731E4416" w14:textId="77777777" w:rsidR="00D901C5" w:rsidRPr="00D901C5" w:rsidRDefault="00D901C5" w:rsidP="00D901C5">
      <w:pPr>
        <w:spacing w:after="0" w:line="240" w:lineRule="auto"/>
        <w:rPr>
          <w:rFonts w:ascii="Times New Roman" w:eastAsia="Times New Roman" w:hAnsi="Times New Roman" w:cs="Times New Roman"/>
          <w:sz w:val="24"/>
          <w:szCs w:val="24"/>
        </w:rPr>
      </w:pPr>
      <w:r w:rsidRPr="00D901C5">
        <w:rPr>
          <w:rFonts w:ascii="&amp;quot" w:eastAsia="Times New Roman" w:hAnsi="&amp;quot" w:cs="Times New Roman"/>
          <w:color w:val="333333"/>
          <w:sz w:val="18"/>
          <w:szCs w:val="18"/>
        </w:rPr>
        <w:br/>
      </w:r>
    </w:p>
    <w:p w14:paraId="6B27054A" w14:textId="77777777" w:rsidR="00D901C5" w:rsidRPr="00D901C5" w:rsidRDefault="00D901C5" w:rsidP="00D901C5">
      <w:pPr>
        <w:spacing w:before="75" w:after="150" w:line="240" w:lineRule="auto"/>
        <w:jc w:val="center"/>
        <w:textAlignment w:val="baseline"/>
        <w:outlineLvl w:val="1"/>
        <w:rPr>
          <w:rFonts w:ascii="&amp;quot" w:eastAsia="Times New Roman" w:hAnsi="&amp;quot" w:cs="Times New Roman"/>
          <w:b/>
          <w:bCs/>
          <w:color w:val="465914"/>
          <w:sz w:val="30"/>
          <w:szCs w:val="30"/>
        </w:rPr>
      </w:pPr>
      <w:r w:rsidRPr="00D901C5">
        <w:rPr>
          <w:rFonts w:ascii="&amp;quot" w:eastAsia="Times New Roman" w:hAnsi="&amp;quot" w:cs="Times New Roman"/>
          <w:b/>
          <w:bCs/>
          <w:color w:val="465914"/>
          <w:sz w:val="30"/>
          <w:szCs w:val="30"/>
        </w:rPr>
        <w:t>Society for American Archaeology/African Studies Association</w:t>
      </w:r>
    </w:p>
    <w:p w14:paraId="5302C71E" w14:textId="77777777" w:rsidR="00D901C5" w:rsidRPr="00D901C5" w:rsidRDefault="00D901C5" w:rsidP="00D901C5">
      <w:pPr>
        <w:spacing w:before="75" w:after="150" w:line="240" w:lineRule="auto"/>
        <w:jc w:val="center"/>
        <w:textAlignment w:val="baseline"/>
        <w:outlineLvl w:val="1"/>
        <w:rPr>
          <w:rFonts w:ascii="&amp;quot" w:eastAsia="Times New Roman" w:hAnsi="&amp;quot" w:cs="Times New Roman"/>
          <w:b/>
          <w:bCs/>
          <w:color w:val="465914"/>
          <w:sz w:val="30"/>
          <w:szCs w:val="30"/>
        </w:rPr>
      </w:pPr>
      <w:r w:rsidRPr="00D901C5">
        <w:rPr>
          <w:rFonts w:ascii="&amp;quot" w:eastAsia="Times New Roman" w:hAnsi="&amp;quot" w:cs="Times New Roman"/>
          <w:b/>
          <w:bCs/>
          <w:color w:val="465914"/>
          <w:sz w:val="30"/>
          <w:szCs w:val="30"/>
        </w:rPr>
        <w:t>Symposium Committee</w:t>
      </w:r>
    </w:p>
    <w:p w14:paraId="2C9D9EA5" w14:textId="77777777" w:rsidR="00D901C5" w:rsidRPr="00D901C5" w:rsidRDefault="00D901C5" w:rsidP="00D901C5">
      <w:pPr>
        <w:spacing w:after="0" w:line="240" w:lineRule="auto"/>
        <w:rPr>
          <w:rFonts w:ascii="Times New Roman" w:eastAsia="Times New Roman" w:hAnsi="Times New Roman" w:cs="Times New Roman"/>
          <w:sz w:val="24"/>
          <w:szCs w:val="24"/>
        </w:rPr>
      </w:pPr>
      <w:r w:rsidRPr="00D901C5">
        <w:rPr>
          <w:rFonts w:ascii="&amp;quot" w:eastAsia="Times New Roman" w:hAnsi="&amp;quot" w:cs="Times New Roman"/>
          <w:color w:val="333333"/>
          <w:sz w:val="18"/>
          <w:szCs w:val="18"/>
        </w:rPr>
        <w:br/>
      </w:r>
    </w:p>
    <w:p w14:paraId="35DBE421" w14:textId="77777777" w:rsidR="00D901C5" w:rsidRPr="00D901C5" w:rsidRDefault="00D901C5" w:rsidP="00D901C5">
      <w:pPr>
        <w:spacing w:after="0" w:line="240" w:lineRule="auto"/>
        <w:textAlignment w:val="baseline"/>
        <w:rPr>
          <w:rFonts w:ascii="&amp;quot" w:eastAsia="Times New Roman" w:hAnsi="&amp;quot" w:cs="Times New Roman"/>
          <w:color w:val="333333"/>
          <w:sz w:val="18"/>
          <w:szCs w:val="18"/>
        </w:rPr>
      </w:pPr>
      <w:proofErr w:type="gramStart"/>
      <w:r w:rsidRPr="00D901C5">
        <w:rPr>
          <w:rFonts w:ascii="&amp;quot" w:eastAsia="Times New Roman" w:hAnsi="&amp;quot" w:cs="Times New Roman"/>
          <w:color w:val="333333"/>
          <w:sz w:val="18"/>
          <w:szCs w:val="18"/>
        </w:rPr>
        <w:t>In order to</w:t>
      </w:r>
      <w:proofErr w:type="gramEnd"/>
      <w:r w:rsidRPr="00D901C5">
        <w:rPr>
          <w:rFonts w:ascii="&amp;quot" w:eastAsia="Times New Roman" w:hAnsi="&amp;quot" w:cs="Times New Roman"/>
          <w:color w:val="333333"/>
          <w:sz w:val="18"/>
          <w:szCs w:val="18"/>
        </w:rPr>
        <w:t xml:space="preserve"> build greater knowledge of African Archaeology within the broader archaeological and Africanist communities, </w:t>
      </w:r>
      <w:proofErr w:type="spellStart"/>
      <w:r w:rsidRPr="00D901C5">
        <w:rPr>
          <w:rFonts w:ascii="&amp;quot" w:eastAsia="Times New Roman" w:hAnsi="&amp;quot" w:cs="Times New Roman"/>
          <w:color w:val="333333"/>
          <w:sz w:val="18"/>
          <w:szCs w:val="18"/>
        </w:rPr>
        <w:t>SAfA</w:t>
      </w:r>
      <w:proofErr w:type="spellEnd"/>
      <w:r w:rsidRPr="00D901C5">
        <w:rPr>
          <w:rFonts w:ascii="&amp;quot" w:eastAsia="Times New Roman" w:hAnsi="&amp;quot" w:cs="Times New Roman"/>
          <w:color w:val="333333"/>
          <w:sz w:val="18"/>
          <w:szCs w:val="18"/>
        </w:rPr>
        <w:t xml:space="preserve"> is committed to promoting a more visible presence at the annual meetings of the Society for American Archaeology and the African Studies Association. To meet this end, the SAA/ASA Symposium Committee was established in 2006 to assist in organizing and promoting </w:t>
      </w:r>
      <w:proofErr w:type="spellStart"/>
      <w:r w:rsidRPr="00D901C5">
        <w:rPr>
          <w:rFonts w:ascii="&amp;quot" w:eastAsia="Times New Roman" w:hAnsi="&amp;quot" w:cs="Times New Roman"/>
          <w:color w:val="333333"/>
          <w:sz w:val="18"/>
          <w:szCs w:val="18"/>
        </w:rPr>
        <w:t>SAfA</w:t>
      </w:r>
      <w:proofErr w:type="spellEnd"/>
      <w:r w:rsidRPr="00D901C5">
        <w:rPr>
          <w:rFonts w:ascii="&amp;quot" w:eastAsia="Times New Roman" w:hAnsi="&amp;quot" w:cs="Times New Roman"/>
          <w:color w:val="333333"/>
          <w:sz w:val="18"/>
          <w:szCs w:val="18"/>
        </w:rPr>
        <w:t xml:space="preserve"> sponsored sessions at the annual SAA and ASA meetings.</w:t>
      </w:r>
      <w:r w:rsidRPr="00D901C5">
        <w:rPr>
          <w:rFonts w:ascii="&amp;quot" w:eastAsia="Times New Roman" w:hAnsi="&amp;quot" w:cs="Times New Roman"/>
          <w:color w:val="333333"/>
          <w:sz w:val="18"/>
          <w:szCs w:val="18"/>
        </w:rPr>
        <w:br/>
      </w:r>
      <w:r w:rsidRPr="00D901C5">
        <w:rPr>
          <w:rFonts w:ascii="&amp;quot" w:eastAsia="Times New Roman" w:hAnsi="&amp;quot" w:cs="Times New Roman"/>
          <w:color w:val="333333"/>
          <w:sz w:val="18"/>
          <w:szCs w:val="18"/>
        </w:rPr>
        <w:br/>
        <w:t xml:space="preserve">The committee is charged with soliciting proposals and selected a maximum of two proposals per meeting for identification as </w:t>
      </w:r>
      <w:proofErr w:type="spellStart"/>
      <w:r w:rsidRPr="00D901C5">
        <w:rPr>
          <w:rFonts w:ascii="&amp;quot" w:eastAsia="Times New Roman" w:hAnsi="&amp;quot" w:cs="Times New Roman"/>
          <w:color w:val="333333"/>
          <w:sz w:val="18"/>
          <w:szCs w:val="18"/>
        </w:rPr>
        <w:t>SAfA</w:t>
      </w:r>
      <w:proofErr w:type="spellEnd"/>
      <w:r w:rsidRPr="00D901C5">
        <w:rPr>
          <w:rFonts w:ascii="&amp;quot" w:eastAsia="Times New Roman" w:hAnsi="&amp;quot" w:cs="Times New Roman"/>
          <w:color w:val="333333"/>
          <w:sz w:val="18"/>
          <w:szCs w:val="18"/>
        </w:rPr>
        <w:t>-sponsored sessions. Selection will be based on the potential of each session:</w:t>
      </w:r>
      <w:r w:rsidRPr="00D901C5">
        <w:rPr>
          <w:rFonts w:ascii="&amp;quot" w:eastAsia="Times New Roman" w:hAnsi="&amp;quot" w:cs="Times New Roman"/>
          <w:color w:val="333333"/>
          <w:sz w:val="18"/>
          <w:szCs w:val="18"/>
        </w:rPr>
        <w:br/>
      </w:r>
    </w:p>
    <w:p w14:paraId="4FCB84B4" w14:textId="77777777" w:rsidR="00D901C5" w:rsidRPr="00D901C5" w:rsidRDefault="00D901C5" w:rsidP="00D901C5">
      <w:pPr>
        <w:numPr>
          <w:ilvl w:val="0"/>
          <w:numId w:val="1"/>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to contribute new insights into the African past</w:t>
      </w:r>
    </w:p>
    <w:p w14:paraId="4DAEC881" w14:textId="77777777" w:rsidR="00D901C5" w:rsidRPr="00D901C5" w:rsidRDefault="00D901C5" w:rsidP="00D901C5">
      <w:pPr>
        <w:numPr>
          <w:ilvl w:val="0"/>
          <w:numId w:val="1"/>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to be published as an edited volume</w:t>
      </w:r>
    </w:p>
    <w:p w14:paraId="454ED1E8" w14:textId="77777777" w:rsidR="00D901C5" w:rsidRPr="00D901C5" w:rsidRDefault="00D901C5" w:rsidP="00D901C5">
      <w:pPr>
        <w:numPr>
          <w:ilvl w:val="0"/>
          <w:numId w:val="1"/>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to draw a diverse audience of non-Africanists / non-archaeologists.</w:t>
      </w:r>
    </w:p>
    <w:p w14:paraId="7BD79156" w14:textId="77777777" w:rsidR="00D901C5" w:rsidRPr="00D901C5" w:rsidRDefault="00D901C5" w:rsidP="00D901C5">
      <w:pPr>
        <w:spacing w:after="0" w:line="240" w:lineRule="auto"/>
        <w:rPr>
          <w:rFonts w:ascii="Times New Roman" w:eastAsia="Times New Roman" w:hAnsi="Times New Roman" w:cs="Times New Roman"/>
          <w:sz w:val="24"/>
          <w:szCs w:val="24"/>
        </w:rPr>
      </w:pPr>
      <w:r w:rsidRPr="00D901C5">
        <w:rPr>
          <w:rFonts w:ascii="&amp;quot" w:eastAsia="Times New Roman" w:hAnsi="&amp;quot" w:cs="Times New Roman"/>
          <w:color w:val="333333"/>
          <w:sz w:val="18"/>
          <w:szCs w:val="18"/>
        </w:rPr>
        <w:br/>
      </w:r>
      <w:r w:rsidRPr="00D901C5">
        <w:rPr>
          <w:rFonts w:ascii="Arial" w:eastAsia="Times New Roman" w:hAnsi="Arial" w:cs="Arial"/>
          <w:color w:val="333333"/>
          <w:sz w:val="18"/>
          <w:szCs w:val="18"/>
        </w:rPr>
        <w:t xml:space="preserve">In order to elicit broad interest in </w:t>
      </w:r>
      <w:proofErr w:type="spellStart"/>
      <w:r w:rsidRPr="00D901C5">
        <w:rPr>
          <w:rFonts w:ascii="Arial" w:eastAsia="Times New Roman" w:hAnsi="Arial" w:cs="Arial"/>
          <w:color w:val="333333"/>
          <w:sz w:val="18"/>
          <w:szCs w:val="18"/>
        </w:rPr>
        <w:t>SAfA</w:t>
      </w:r>
      <w:proofErr w:type="spellEnd"/>
      <w:r w:rsidRPr="00D901C5">
        <w:rPr>
          <w:rFonts w:ascii="Arial" w:eastAsia="Times New Roman" w:hAnsi="Arial" w:cs="Arial"/>
          <w:color w:val="333333"/>
          <w:sz w:val="18"/>
          <w:szCs w:val="18"/>
        </w:rPr>
        <w:t>-sponsored sessions, we require the inclusion of prominent non-Africanists (SAA) or non-archaeologists (ASA) as participants in some capacity, normally as session discussants.</w:t>
      </w:r>
      <w:r w:rsidRPr="00D901C5">
        <w:rPr>
          <w:rFonts w:ascii="&amp;quot" w:eastAsia="Times New Roman" w:hAnsi="&amp;quot" w:cs="Times New Roman"/>
          <w:color w:val="333333"/>
          <w:sz w:val="18"/>
          <w:szCs w:val="18"/>
        </w:rPr>
        <w:br/>
      </w:r>
      <w:r w:rsidRPr="00D901C5">
        <w:rPr>
          <w:rFonts w:ascii="&amp;quot" w:eastAsia="Times New Roman" w:hAnsi="&amp;quot" w:cs="Times New Roman"/>
          <w:color w:val="333333"/>
          <w:sz w:val="18"/>
          <w:szCs w:val="18"/>
        </w:rPr>
        <w:br/>
      </w:r>
      <w:r w:rsidRPr="00D901C5">
        <w:rPr>
          <w:rFonts w:ascii="Arial" w:eastAsia="Times New Roman" w:hAnsi="Arial" w:cs="Arial"/>
          <w:color w:val="333333"/>
          <w:sz w:val="18"/>
          <w:szCs w:val="18"/>
        </w:rPr>
        <w:t xml:space="preserve">For proposals to be considered for </w:t>
      </w:r>
      <w:proofErr w:type="spellStart"/>
      <w:r w:rsidRPr="00D901C5">
        <w:rPr>
          <w:rFonts w:ascii="Arial" w:eastAsia="Times New Roman" w:hAnsi="Arial" w:cs="Arial"/>
          <w:color w:val="333333"/>
          <w:sz w:val="18"/>
          <w:szCs w:val="18"/>
        </w:rPr>
        <w:t>SAfA</w:t>
      </w:r>
      <w:proofErr w:type="spellEnd"/>
      <w:r w:rsidRPr="00D901C5">
        <w:rPr>
          <w:rFonts w:ascii="Arial" w:eastAsia="Times New Roman" w:hAnsi="Arial" w:cs="Arial"/>
          <w:color w:val="333333"/>
          <w:sz w:val="18"/>
          <w:szCs w:val="18"/>
        </w:rPr>
        <w:t xml:space="preserve"> sponsorship at either the SAA or ASA annual meetings, proposals must be received by the Committee Chair two months in advance of the submission deadline which is posted on the respective meeting’s website. Check the SAA and ASA websites annually for these dates. Please contact the Committee Chair directly if you have any questions regarding potential session submissions for either professional meeting, or the process of submitting your proposal for consideration.</w:t>
      </w:r>
      <w:r w:rsidRPr="00D901C5">
        <w:rPr>
          <w:rFonts w:ascii="&amp;quot" w:eastAsia="Times New Roman" w:hAnsi="&amp;quot" w:cs="Times New Roman"/>
          <w:color w:val="333333"/>
          <w:sz w:val="18"/>
          <w:szCs w:val="18"/>
        </w:rPr>
        <w:br/>
      </w:r>
      <w:r w:rsidRPr="00D901C5">
        <w:rPr>
          <w:rFonts w:ascii="&amp;quot" w:eastAsia="Times New Roman" w:hAnsi="&amp;quot" w:cs="Times New Roman"/>
          <w:color w:val="333333"/>
          <w:sz w:val="18"/>
          <w:szCs w:val="18"/>
        </w:rPr>
        <w:br/>
      </w:r>
      <w:r w:rsidRPr="00D901C5">
        <w:rPr>
          <w:rFonts w:ascii="&amp;quot" w:eastAsia="Times New Roman" w:hAnsi="&amp;quot" w:cs="Times New Roman"/>
          <w:b/>
          <w:bCs/>
          <w:color w:val="333333"/>
          <w:sz w:val="18"/>
          <w:szCs w:val="18"/>
          <w:bdr w:val="none" w:sz="0" w:space="0" w:color="auto" w:frame="1"/>
        </w:rPr>
        <w:t>Committee Members:</w:t>
      </w:r>
      <w:r w:rsidRPr="00D901C5">
        <w:rPr>
          <w:rFonts w:ascii="&amp;quot" w:eastAsia="Times New Roman" w:hAnsi="&amp;quot" w:cs="Times New Roman"/>
          <w:color w:val="333333"/>
          <w:sz w:val="18"/>
          <w:szCs w:val="18"/>
        </w:rPr>
        <w:br/>
      </w:r>
      <w:r w:rsidRPr="00D901C5">
        <w:rPr>
          <w:rFonts w:ascii="&amp;quot" w:eastAsia="Times New Roman" w:hAnsi="&amp;quot" w:cs="Times New Roman"/>
          <w:color w:val="333333"/>
          <w:sz w:val="18"/>
          <w:szCs w:val="18"/>
        </w:rPr>
        <w:br/>
      </w:r>
      <w:r w:rsidRPr="00D901C5">
        <w:rPr>
          <w:rFonts w:ascii="&amp;quot" w:eastAsia="Times New Roman" w:hAnsi="&amp;quot" w:cs="Times New Roman"/>
          <w:color w:val="333333"/>
          <w:sz w:val="18"/>
          <w:szCs w:val="18"/>
        </w:rPr>
        <w:br/>
      </w:r>
      <w:r w:rsidRPr="00D901C5">
        <w:rPr>
          <w:rFonts w:ascii="Arial" w:eastAsia="Times New Roman" w:hAnsi="Arial" w:cs="Arial"/>
          <w:color w:val="333333"/>
          <w:sz w:val="18"/>
          <w:szCs w:val="18"/>
        </w:rPr>
        <w:t>Chair:</w:t>
      </w:r>
      <w:r w:rsidRPr="00D901C5">
        <w:rPr>
          <w:rFonts w:ascii="&amp;quot" w:eastAsia="Times New Roman" w:hAnsi="&amp;quot" w:cs="Times New Roman"/>
          <w:color w:val="333333"/>
          <w:sz w:val="18"/>
          <w:szCs w:val="18"/>
        </w:rPr>
        <w:br/>
      </w:r>
    </w:p>
    <w:p w14:paraId="17EF8B34" w14:textId="77777777" w:rsidR="00D901C5" w:rsidRPr="00D901C5" w:rsidRDefault="00D901C5" w:rsidP="00D901C5">
      <w:pPr>
        <w:numPr>
          <w:ilvl w:val="0"/>
          <w:numId w:val="2"/>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J. Cameron Monroe, Anthropology, UC Santa Cruz</w:t>
      </w:r>
    </w:p>
    <w:p w14:paraId="5BBC0036" w14:textId="77777777" w:rsidR="00D901C5" w:rsidRPr="00D901C5" w:rsidRDefault="00D901C5" w:rsidP="00D901C5">
      <w:pPr>
        <w:spacing w:after="0" w:line="240" w:lineRule="auto"/>
        <w:rPr>
          <w:rFonts w:ascii="Times New Roman" w:eastAsia="Times New Roman" w:hAnsi="Times New Roman" w:cs="Times New Roman"/>
          <w:sz w:val="24"/>
          <w:szCs w:val="24"/>
        </w:rPr>
      </w:pPr>
      <w:r w:rsidRPr="00D901C5">
        <w:rPr>
          <w:rFonts w:ascii="&amp;quot" w:eastAsia="Times New Roman" w:hAnsi="&amp;quot" w:cs="Times New Roman"/>
          <w:color w:val="333333"/>
          <w:sz w:val="18"/>
          <w:szCs w:val="18"/>
        </w:rPr>
        <w:br/>
      </w:r>
      <w:r w:rsidRPr="00D901C5">
        <w:rPr>
          <w:rFonts w:ascii="Arial" w:eastAsia="Times New Roman" w:hAnsi="Arial" w:cs="Arial"/>
          <w:color w:val="333333"/>
          <w:sz w:val="18"/>
          <w:szCs w:val="18"/>
        </w:rPr>
        <w:t>Society Representatives:</w:t>
      </w:r>
      <w:r w:rsidRPr="00D901C5">
        <w:rPr>
          <w:rFonts w:ascii="&amp;quot" w:eastAsia="Times New Roman" w:hAnsi="&amp;quot" w:cs="Times New Roman"/>
          <w:color w:val="333333"/>
          <w:sz w:val="18"/>
          <w:szCs w:val="18"/>
        </w:rPr>
        <w:br/>
      </w:r>
    </w:p>
    <w:p w14:paraId="56610BE8" w14:textId="77777777" w:rsidR="00D901C5" w:rsidRPr="00D901C5" w:rsidRDefault="00D901C5" w:rsidP="00D901C5">
      <w:pPr>
        <w:numPr>
          <w:ilvl w:val="0"/>
          <w:numId w:val="3"/>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John W. Arthur, Anthropology, University of South Florida</w:t>
      </w:r>
    </w:p>
    <w:p w14:paraId="64129986" w14:textId="77777777" w:rsidR="00D901C5" w:rsidRPr="00D901C5" w:rsidRDefault="00D901C5" w:rsidP="00D901C5">
      <w:pPr>
        <w:numPr>
          <w:ilvl w:val="0"/>
          <w:numId w:val="3"/>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 xml:space="preserve">Catherine </w:t>
      </w:r>
      <w:proofErr w:type="spellStart"/>
      <w:r w:rsidRPr="00D901C5">
        <w:rPr>
          <w:rFonts w:ascii="&amp;quot" w:eastAsia="Times New Roman" w:hAnsi="&amp;quot" w:cs="Times New Roman"/>
          <w:color w:val="333333"/>
          <w:sz w:val="18"/>
          <w:szCs w:val="18"/>
        </w:rPr>
        <w:t>D'Andrea</w:t>
      </w:r>
      <w:proofErr w:type="spellEnd"/>
      <w:r w:rsidRPr="00D901C5">
        <w:rPr>
          <w:rFonts w:ascii="&amp;quot" w:eastAsia="Times New Roman" w:hAnsi="&amp;quot" w:cs="Times New Roman"/>
          <w:color w:val="333333"/>
          <w:sz w:val="18"/>
          <w:szCs w:val="18"/>
        </w:rPr>
        <w:t>, Archaeology, Simon Fraser University</w:t>
      </w:r>
    </w:p>
    <w:p w14:paraId="38988624" w14:textId="77777777" w:rsidR="00D901C5" w:rsidRPr="00D901C5" w:rsidRDefault="00D901C5" w:rsidP="00D901C5">
      <w:pPr>
        <w:numPr>
          <w:ilvl w:val="0"/>
          <w:numId w:val="3"/>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Paul Lane, Archaeology, York University</w:t>
      </w:r>
    </w:p>
    <w:p w14:paraId="4E5EF276" w14:textId="77777777" w:rsidR="00D901C5" w:rsidRPr="00D901C5" w:rsidRDefault="00D901C5" w:rsidP="00D901C5">
      <w:pPr>
        <w:numPr>
          <w:ilvl w:val="0"/>
          <w:numId w:val="3"/>
        </w:numPr>
        <w:spacing w:after="0" w:line="240" w:lineRule="auto"/>
        <w:ind w:left="450"/>
        <w:textAlignment w:val="baseline"/>
        <w:rPr>
          <w:rFonts w:ascii="&amp;quot" w:eastAsia="Times New Roman" w:hAnsi="&amp;quot" w:cs="Times New Roman"/>
          <w:color w:val="333333"/>
          <w:sz w:val="18"/>
          <w:szCs w:val="18"/>
        </w:rPr>
      </w:pPr>
      <w:r w:rsidRPr="00D901C5">
        <w:rPr>
          <w:rFonts w:ascii="&amp;quot" w:eastAsia="Times New Roman" w:hAnsi="&amp;quot" w:cs="Times New Roman"/>
          <w:color w:val="333333"/>
          <w:sz w:val="18"/>
          <w:szCs w:val="18"/>
        </w:rPr>
        <w:t xml:space="preserve">Briana </w:t>
      </w:r>
      <w:proofErr w:type="spellStart"/>
      <w:r w:rsidRPr="00D901C5">
        <w:rPr>
          <w:rFonts w:ascii="&amp;quot" w:eastAsia="Times New Roman" w:hAnsi="&amp;quot" w:cs="Times New Roman"/>
          <w:color w:val="333333"/>
          <w:sz w:val="18"/>
          <w:szCs w:val="18"/>
        </w:rPr>
        <w:t>Pobiner</w:t>
      </w:r>
      <w:proofErr w:type="spellEnd"/>
      <w:r w:rsidRPr="00D901C5">
        <w:rPr>
          <w:rFonts w:ascii="&amp;quot" w:eastAsia="Times New Roman" w:hAnsi="&amp;quot" w:cs="Times New Roman"/>
          <w:color w:val="333333"/>
          <w:sz w:val="18"/>
          <w:szCs w:val="18"/>
        </w:rPr>
        <w:t>, Anthropology, National Museum of Natural History</w:t>
      </w:r>
    </w:p>
    <w:p w14:paraId="099A5F00" w14:textId="2B887B79" w:rsidR="006844B9" w:rsidRDefault="00D901C5" w:rsidP="00D901C5">
      <w:r w:rsidRPr="00D901C5">
        <w:rPr>
          <w:rFonts w:ascii="&amp;quot" w:eastAsia="Times New Roman" w:hAnsi="&amp;quot" w:cs="Times New Roman"/>
          <w:color w:val="333333"/>
          <w:sz w:val="18"/>
          <w:szCs w:val="18"/>
        </w:rPr>
        <w:br/>
      </w:r>
      <w:r w:rsidRPr="00D901C5">
        <w:rPr>
          <w:rFonts w:ascii="Arial" w:eastAsia="Times New Roman" w:hAnsi="Arial" w:cs="Arial"/>
          <w:color w:val="333333"/>
          <w:sz w:val="18"/>
          <w:szCs w:val="18"/>
        </w:rPr>
        <w:t xml:space="preserve">All correspondences and submissions should be directed to the chair electronically at the following address: </w:t>
      </w:r>
      <w:r w:rsidRPr="00D901C5">
        <w:rPr>
          <w:rFonts w:ascii="&amp;quot" w:eastAsia="Times New Roman" w:hAnsi="&amp;quot" w:cs="Times New Roman"/>
          <w:i/>
          <w:iCs/>
          <w:color w:val="333333"/>
          <w:sz w:val="18"/>
          <w:szCs w:val="18"/>
          <w:bdr w:val="none" w:sz="0" w:space="0" w:color="auto" w:frame="1"/>
        </w:rPr>
        <w:t>jcmonroe@ucsc.edu</w:t>
      </w:r>
      <w:bookmarkStart w:id="0" w:name="_GoBack"/>
      <w:bookmarkEnd w:id="0"/>
    </w:p>
    <w:sectPr w:rsidR="0068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16E2"/>
    <w:multiLevelType w:val="multilevel"/>
    <w:tmpl w:val="2778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D43BA"/>
    <w:multiLevelType w:val="multilevel"/>
    <w:tmpl w:val="D82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41969"/>
    <w:multiLevelType w:val="multilevel"/>
    <w:tmpl w:val="128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C5"/>
    <w:rsid w:val="006844B9"/>
    <w:rsid w:val="00D9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8147"/>
  <w15:chartTrackingRefBased/>
  <w15:docId w15:val="{BD65375F-5500-4236-9794-5F99B6A3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90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1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01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1C5"/>
    <w:rPr>
      <w:b/>
      <w:bCs/>
    </w:rPr>
  </w:style>
  <w:style w:type="character" w:styleId="Emphasis">
    <w:name w:val="Emphasis"/>
    <w:basedOn w:val="DefaultParagraphFont"/>
    <w:uiPriority w:val="20"/>
    <w:qFormat/>
    <w:rsid w:val="00D90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Curtis</dc:creator>
  <cp:keywords/>
  <dc:description/>
  <cp:lastModifiedBy>Matt Curtis</cp:lastModifiedBy>
  <cp:revision>1</cp:revision>
  <dcterms:created xsi:type="dcterms:W3CDTF">2018-10-24T19:12:00Z</dcterms:created>
  <dcterms:modified xsi:type="dcterms:W3CDTF">2018-10-24T19:13:00Z</dcterms:modified>
</cp:coreProperties>
</file>